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1A59">
      <w:pPr>
        <w:spacing w:after="120" w:afterLines="50" w:line="360" w:lineRule="auto"/>
        <w:jc w:val="center"/>
        <w:rPr>
          <w:rFonts w:hint="eastAsia" w:hAnsi="宋体" w:eastAsia="黑体" w:cs="宋体"/>
          <w:color w:val="000000"/>
          <w:sz w:val="36"/>
          <w:szCs w:val="20"/>
        </w:rPr>
      </w:pPr>
      <w:r>
        <w:rPr>
          <w:rFonts w:hint="eastAsia" w:hAnsi="宋体" w:eastAsia="黑体" w:cs="宋体"/>
          <w:color w:val="000000"/>
          <w:sz w:val="36"/>
          <w:szCs w:val="20"/>
        </w:rPr>
        <w:t>上海中侨职业技术大学</w:t>
      </w:r>
    </w:p>
    <w:p w14:paraId="0E13876D">
      <w:pPr>
        <w:spacing w:after="120" w:afterLines="50" w:line="360" w:lineRule="auto"/>
        <w:jc w:val="center"/>
        <w:rPr>
          <w:rFonts w:hint="eastAsia" w:hAnsi="宋体" w:eastAsia="黑体" w:cs="宋体"/>
          <w:color w:val="000000"/>
          <w:sz w:val="36"/>
          <w:szCs w:val="20"/>
        </w:rPr>
      </w:pPr>
      <w:r>
        <w:rPr>
          <w:rFonts w:hint="eastAsia" w:hAnsi="宋体" w:eastAsia="黑体" w:cs="宋体"/>
          <w:color w:val="000000"/>
          <w:sz w:val="36"/>
          <w:szCs w:val="20"/>
        </w:rPr>
        <w:t>食品质量与安全（中本贯通）</w:t>
      </w:r>
    </w:p>
    <w:p w14:paraId="1E3F11D4">
      <w:pPr>
        <w:spacing w:after="120" w:afterLines="50" w:line="360" w:lineRule="auto"/>
        <w:jc w:val="center"/>
        <w:rPr>
          <w:rFonts w:hint="eastAsia" w:hAnsi="宋体" w:eastAsia="黑体" w:cs="宋体"/>
          <w:color w:val="000000"/>
          <w:sz w:val="36"/>
          <w:szCs w:val="20"/>
        </w:rPr>
      </w:pPr>
      <w:r>
        <w:rPr>
          <w:rFonts w:hint="eastAsia" w:hAnsi="宋体" w:eastAsia="黑体" w:cs="宋体"/>
          <w:color w:val="000000"/>
          <w:sz w:val="36"/>
          <w:szCs w:val="20"/>
        </w:rPr>
        <w:t>《</w:t>
      </w:r>
      <w:r>
        <w:rPr>
          <w:rFonts w:hint="eastAsia" w:hAnsi="宋体" w:eastAsia="黑体" w:cs="宋体"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>技能水平测试—专业技能操作</w:t>
      </w:r>
      <w:r>
        <w:rPr>
          <w:rFonts w:hint="eastAsia" w:hAnsi="宋体" w:eastAsia="黑体" w:cs="宋体"/>
          <w:color w:val="000000"/>
          <w:sz w:val="36"/>
          <w:szCs w:val="20"/>
        </w:rPr>
        <w:t>》考试大纲</w:t>
      </w:r>
    </w:p>
    <w:p w14:paraId="749BB273">
      <w:pPr>
        <w:adjustRightInd/>
        <w:snapToGrid/>
        <w:spacing w:after="0" w:line="30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</w:p>
    <w:p w14:paraId="1419EE13">
      <w:pPr>
        <w:adjustRightInd/>
        <w:snapToGrid/>
        <w:spacing w:after="0" w:line="520" w:lineRule="exact"/>
        <w:ind w:firstLine="482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b/>
          <w:bCs/>
          <w:sz w:val="24"/>
          <w:szCs w:val="24"/>
        </w:rPr>
        <w:t>一、考试性质</w:t>
      </w:r>
    </w:p>
    <w:p w14:paraId="41CF11F7">
      <w:pPr>
        <w:adjustRightInd/>
        <w:snapToGrid/>
        <w:spacing w:after="0" w:line="520" w:lineRule="exact"/>
        <w:ind w:firstLine="480" w:firstLineChars="200"/>
        <w:jc w:val="both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>《技能水平测试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—</w:t>
      </w:r>
      <w:r>
        <w:rPr>
          <w:rFonts w:cs="Times New Roman" w:asciiTheme="minorEastAsia" w:hAnsiTheme="minorEastAsia" w:eastAsiaTheme="minorEastAsia"/>
          <w:sz w:val="24"/>
          <w:szCs w:val="24"/>
        </w:rPr>
        <w:t>专业技能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操作</w:t>
      </w:r>
      <w:r>
        <w:rPr>
          <w:rFonts w:cs="Times New Roman" w:asciiTheme="minorEastAsia" w:hAnsiTheme="minorEastAsia" w:eastAsiaTheme="minorEastAsia"/>
          <w:sz w:val="24"/>
          <w:szCs w:val="24"/>
        </w:rPr>
        <w:t>》考试大纲仅适用于上海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食品科技学校</w:t>
      </w:r>
      <w:r>
        <w:rPr>
          <w:rFonts w:cs="Times New Roman" w:asciiTheme="minorEastAsia" w:hAnsiTheme="minorEastAsia" w:eastAsiaTheme="minorEastAsia"/>
          <w:sz w:val="24"/>
          <w:szCs w:val="24"/>
        </w:rPr>
        <w:t>20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2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cs="Times New Roman" w:asciiTheme="minorEastAsia" w:hAnsiTheme="minorEastAsia" w:eastAsia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食品质量与安全</w:t>
      </w:r>
      <w:r>
        <w:rPr>
          <w:rFonts w:cs="Times New Roman" w:asciiTheme="minorEastAsia" w:hAnsiTheme="minorEastAsia" w:eastAsiaTheme="minorEastAsia"/>
          <w:sz w:val="24"/>
          <w:szCs w:val="24"/>
        </w:rPr>
        <w:t>专业（中本贯通）转段考试的学生。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本次专业技能考核</w:t>
      </w:r>
      <w:r>
        <w:rPr>
          <w:rFonts w:cs="Times New Roman" w:asciiTheme="minorEastAsia" w:hAnsiTheme="minorEastAsia" w:eastAsiaTheme="minorEastAsia"/>
          <w:sz w:val="24"/>
          <w:szCs w:val="24"/>
        </w:rPr>
        <w:t>主要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考察</w:t>
      </w:r>
      <w:r>
        <w:rPr>
          <w:rFonts w:cs="Times New Roman" w:asciiTheme="minorEastAsia" w:hAnsiTheme="minorEastAsia" w:eastAsiaTheme="minorEastAsia"/>
          <w:sz w:val="24"/>
          <w:szCs w:val="24"/>
        </w:rPr>
        <w:t>学生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是否具备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食品检验与食品品质控制</w:t>
      </w:r>
      <w:r>
        <w:rPr>
          <w:rFonts w:cs="宋体" w:asciiTheme="minorEastAsia" w:hAnsiTheme="minorEastAsia" w:eastAsiaTheme="minorEastAsia"/>
          <w:sz w:val="24"/>
          <w:szCs w:val="24"/>
        </w:rPr>
        <w:t>等方面的职业素质和操作技能。</w:t>
      </w:r>
    </w:p>
    <w:p w14:paraId="3FF0FA03">
      <w:pPr>
        <w:adjustRightInd/>
        <w:snapToGrid/>
        <w:spacing w:after="0" w:line="520" w:lineRule="exact"/>
        <w:ind w:firstLine="482" w:firstLineChars="200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cs="Times New Roman" w:asciiTheme="minorEastAsia" w:hAnsiTheme="minorEastAsia" w:eastAsiaTheme="minorEastAsia"/>
          <w:b/>
          <w:bCs/>
          <w:sz w:val="24"/>
          <w:szCs w:val="24"/>
        </w:rPr>
        <w:t>二、考试要求</w:t>
      </w:r>
    </w:p>
    <w:p w14:paraId="1AB4114B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1.</w:t>
      </w:r>
      <w:r>
        <w:rPr>
          <w:rFonts w:cs="Times New Roman" w:asciiTheme="minorEastAsia" w:hAnsiTheme="minorEastAsia" w:eastAsiaTheme="minorEastAsia"/>
          <w:sz w:val="24"/>
          <w:szCs w:val="24"/>
        </w:rPr>
        <w:t>考试采用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实验操作</w:t>
      </w:r>
      <w:r>
        <w:rPr>
          <w:rFonts w:cs="Times New Roman" w:asciiTheme="minorEastAsia" w:hAnsiTheme="minorEastAsia" w:eastAsiaTheme="minorEastAsia"/>
          <w:sz w:val="24"/>
          <w:szCs w:val="24"/>
        </w:rPr>
        <w:t>形式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 w14:paraId="090839AC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2.</w:t>
      </w:r>
      <w:r>
        <w:rPr>
          <w:rFonts w:cs="Times New Roman" w:asciiTheme="minorEastAsia" w:hAnsiTheme="minorEastAsia" w:eastAsiaTheme="minorEastAsia"/>
          <w:sz w:val="24"/>
          <w:szCs w:val="24"/>
        </w:rPr>
        <w:t>考试时间为1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2</w:t>
      </w:r>
      <w:r>
        <w:rPr>
          <w:rFonts w:cs="Times New Roman" w:asciiTheme="minorEastAsia" w:hAnsiTheme="minorEastAsia" w:eastAsiaTheme="minorEastAsia"/>
          <w:sz w:val="24"/>
          <w:szCs w:val="24"/>
        </w:rPr>
        <w:t>0分钟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，满分180分。</w:t>
      </w:r>
    </w:p>
    <w:p w14:paraId="1B9943A5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3.</w:t>
      </w:r>
      <w:r>
        <w:rPr>
          <w:rFonts w:cs="Times New Roman" w:asciiTheme="minorEastAsia" w:hAnsiTheme="minorEastAsia" w:eastAsiaTheme="minorEastAsia"/>
          <w:sz w:val="24"/>
          <w:szCs w:val="24"/>
        </w:rPr>
        <w:t>试题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名称（大小操作分别抽一）</w:t>
      </w:r>
    </w:p>
    <w:p w14:paraId="61C4C158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>（1）</w:t>
      </w:r>
      <w:bookmarkStart w:id="0" w:name="_Hlk25485236"/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小操作：EDTA的标定；氢氧化钠的标定；PCA培养基的配制；BGLB肉汤的配制。</w:t>
      </w:r>
    </w:p>
    <w:p w14:paraId="543A33D8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（2）大操作：大豆中粗脂肪的测定；食醋中的总酸测定；饼干中菌落总数的测定；保健饮料中大肠菌群的测定。</w:t>
      </w:r>
    </w:p>
    <w:bookmarkEnd w:id="0"/>
    <w:p w14:paraId="57E3CE5E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4.</w:t>
      </w:r>
      <w:r>
        <w:rPr>
          <w:rFonts w:cs="Times New Roman" w:asciiTheme="minorEastAsia" w:hAnsiTheme="minorEastAsia" w:eastAsiaTheme="minorEastAsia"/>
          <w:sz w:val="24"/>
          <w:szCs w:val="24"/>
        </w:rPr>
        <w:t>考试主要内容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：试剂与培养基的配制；检验</w:t>
      </w:r>
      <w:r>
        <w:rPr>
          <w:rFonts w:cs="Times New Roman" w:asciiTheme="minorEastAsia" w:hAnsiTheme="minorEastAsia" w:eastAsiaTheme="minorEastAsia"/>
          <w:sz w:val="24"/>
          <w:szCs w:val="24"/>
        </w:rPr>
        <w:t>方法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、设备与试剂的选择；样品前处理；项目</w:t>
      </w:r>
      <w:r>
        <w:rPr>
          <w:rFonts w:cs="Times New Roman" w:asciiTheme="minorEastAsia" w:hAnsiTheme="minorEastAsia" w:eastAsiaTheme="minorEastAsia"/>
          <w:sz w:val="24"/>
          <w:szCs w:val="24"/>
        </w:rPr>
        <w:t>的检测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；数据</w:t>
      </w:r>
      <w:r>
        <w:rPr>
          <w:rFonts w:cs="Times New Roman" w:asciiTheme="minorEastAsia" w:hAnsiTheme="minorEastAsia" w:eastAsiaTheme="minorEastAsia"/>
          <w:sz w:val="24"/>
          <w:szCs w:val="24"/>
        </w:rPr>
        <w:t>记录与处理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；检验</w:t>
      </w:r>
      <w:r>
        <w:rPr>
          <w:rFonts w:cs="Times New Roman" w:asciiTheme="minorEastAsia" w:hAnsiTheme="minorEastAsia" w:eastAsiaTheme="minorEastAsia"/>
          <w:sz w:val="24"/>
          <w:szCs w:val="24"/>
        </w:rPr>
        <w:t>结果的判定与评价等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知识</w:t>
      </w:r>
      <w:r>
        <w:rPr>
          <w:rFonts w:cs="Times New Roman" w:asciiTheme="minorEastAsia" w:hAnsiTheme="minorEastAsia" w:eastAsiaTheme="minorEastAsia"/>
          <w:sz w:val="24"/>
          <w:szCs w:val="24"/>
        </w:rPr>
        <w:t>点，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检验</w:t>
      </w:r>
      <w:r>
        <w:rPr>
          <w:rFonts w:cs="Times New Roman" w:asciiTheme="minorEastAsia" w:hAnsiTheme="minorEastAsia" w:eastAsiaTheme="minorEastAsia"/>
          <w:sz w:val="24"/>
          <w:szCs w:val="24"/>
        </w:rPr>
        <w:t>学生是否具备以下能力（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技能</w:t>
      </w:r>
      <w:r>
        <w:rPr>
          <w:rFonts w:cs="Times New Roman" w:asciiTheme="minorEastAsia" w:hAnsiTheme="minorEastAsia" w:eastAsiaTheme="minorEastAsia"/>
          <w:sz w:val="24"/>
          <w:szCs w:val="24"/>
        </w:rPr>
        <w:t>）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：</w:t>
      </w:r>
      <w:r>
        <w:rPr>
          <w:rFonts w:cs="Times New Roman" w:asciiTheme="minorEastAsia" w:hAnsiTheme="minorEastAsia" w:eastAsiaTheme="minorEastAsia"/>
          <w:sz w:val="24"/>
          <w:szCs w:val="24"/>
        </w:rPr>
        <w:t xml:space="preserve"> </w:t>
      </w:r>
    </w:p>
    <w:p w14:paraId="5970D160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（1）会规范配制常用试剂与培养基；</w:t>
      </w:r>
    </w:p>
    <w:p w14:paraId="581D38EC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>（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2</w:t>
      </w:r>
      <w:r>
        <w:rPr>
          <w:rFonts w:cs="Times New Roman" w:asciiTheme="minorEastAsia" w:hAnsiTheme="minorEastAsia" w:eastAsiaTheme="minorEastAsia"/>
          <w:sz w:val="24"/>
          <w:szCs w:val="24"/>
        </w:rPr>
        <w:t>）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会正确</w:t>
      </w:r>
      <w:r>
        <w:rPr>
          <w:rFonts w:cs="Times New Roman" w:asciiTheme="minorEastAsia" w:hAnsiTheme="minorEastAsia" w:eastAsiaTheme="minorEastAsia"/>
          <w:sz w:val="24"/>
          <w:szCs w:val="24"/>
        </w:rPr>
        <w:t>使用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食品检测</w:t>
      </w:r>
      <w:r>
        <w:rPr>
          <w:rFonts w:cs="Times New Roman" w:asciiTheme="minorEastAsia" w:hAnsiTheme="minorEastAsia" w:eastAsiaTheme="minorEastAsia"/>
          <w:sz w:val="24"/>
          <w:szCs w:val="24"/>
        </w:rPr>
        <w:t>常用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检测仪器</w:t>
      </w:r>
      <w:r>
        <w:rPr>
          <w:rFonts w:cs="Times New Roman" w:asciiTheme="minorEastAsia" w:hAnsiTheme="minorEastAsia" w:eastAsiaTheme="minorEastAsia"/>
          <w:sz w:val="24"/>
          <w:szCs w:val="24"/>
        </w:rPr>
        <w:t>、设备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；</w:t>
      </w:r>
    </w:p>
    <w:p w14:paraId="741DA8E5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（3）能</w:t>
      </w:r>
      <w:r>
        <w:rPr>
          <w:rFonts w:cs="Times New Roman" w:asciiTheme="minorEastAsia" w:hAnsiTheme="minorEastAsia" w:eastAsiaTheme="minorEastAsia"/>
          <w:sz w:val="24"/>
          <w:szCs w:val="24"/>
        </w:rPr>
        <w:t>按检验要求预处理检测样品；</w:t>
      </w:r>
    </w:p>
    <w:p w14:paraId="30E5605D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（4）能</w:t>
      </w:r>
      <w:r>
        <w:rPr>
          <w:rFonts w:cs="Times New Roman" w:asciiTheme="minorEastAsia" w:hAnsiTheme="minorEastAsia" w:eastAsiaTheme="minorEastAsia"/>
          <w:sz w:val="24"/>
          <w:szCs w:val="24"/>
        </w:rPr>
        <w:t>按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标准</w:t>
      </w:r>
      <w:r>
        <w:rPr>
          <w:rFonts w:cs="Times New Roman" w:asciiTheme="minorEastAsia" w:hAnsiTheme="minorEastAsia" w:eastAsiaTheme="minorEastAsia"/>
          <w:sz w:val="24"/>
          <w:szCs w:val="24"/>
        </w:rPr>
        <w:t>或技术方案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规范检测；</w:t>
      </w:r>
    </w:p>
    <w:p w14:paraId="6AAE9D55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（5）正确</w:t>
      </w:r>
      <w:r>
        <w:rPr>
          <w:rFonts w:cs="Times New Roman" w:asciiTheme="minorEastAsia" w:hAnsiTheme="minorEastAsia" w:eastAsiaTheme="minorEastAsia"/>
          <w:sz w:val="24"/>
          <w:szCs w:val="24"/>
        </w:rPr>
        <w:t>及时记录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、</w:t>
      </w:r>
      <w:r>
        <w:rPr>
          <w:rFonts w:cs="Times New Roman" w:asciiTheme="minorEastAsia" w:hAnsiTheme="minorEastAsia" w:eastAsiaTheme="minorEastAsia"/>
          <w:sz w:val="24"/>
          <w:szCs w:val="24"/>
        </w:rPr>
        <w:t>处理数据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；</w:t>
      </w:r>
    </w:p>
    <w:p w14:paraId="47D6C602">
      <w:pPr>
        <w:adjustRightInd/>
        <w:snapToGrid/>
        <w:spacing w:after="0" w:line="520" w:lineRule="exact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（6）会</w:t>
      </w:r>
      <w:r>
        <w:rPr>
          <w:rFonts w:cs="Times New Roman" w:asciiTheme="minorEastAsia" w:hAnsiTheme="minorEastAsia" w:eastAsiaTheme="minorEastAsia"/>
          <w:sz w:val="24"/>
          <w:szCs w:val="24"/>
        </w:rPr>
        <w:t>判定检测结果，并评价产品品质。</w:t>
      </w:r>
    </w:p>
    <w:p w14:paraId="1577056F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5.</w:t>
      </w:r>
      <w:r>
        <w:rPr>
          <w:rFonts w:cs="Times New Roman" w:asciiTheme="minorEastAsia" w:hAnsiTheme="minorEastAsia" w:eastAsiaTheme="minorEastAsia"/>
          <w:sz w:val="24"/>
          <w:szCs w:val="24"/>
        </w:rPr>
        <w:t>考试内容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分值分配</w:t>
      </w:r>
      <w:r>
        <w:rPr>
          <w:rFonts w:cs="Times New Roman" w:asciiTheme="minorEastAsia" w:hAnsiTheme="minorEastAsia" w:eastAsiaTheme="minorEastAsia"/>
          <w:sz w:val="24"/>
          <w:szCs w:val="24"/>
        </w:rPr>
        <w:t>见下表：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 xml:space="preserve"> 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525"/>
        <w:gridCol w:w="1525"/>
        <w:gridCol w:w="1385"/>
        <w:gridCol w:w="1385"/>
        <w:gridCol w:w="1384"/>
      </w:tblGrid>
      <w:tr w14:paraId="11759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2182A79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考试内容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231CF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b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试剂与培养基的配制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EDDA179">
            <w:pPr>
              <w:adjustRightInd/>
              <w:snapToGrid/>
              <w:spacing w:after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选用合适的检验设备与试剂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7887F8A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b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检测</w:t>
            </w:r>
            <w:r>
              <w:rPr>
                <w:rFonts w:cs="Times New Roman" w:asciiTheme="minorEastAsia" w:hAnsiTheme="minorEastAsia" w:eastAsiaTheme="minorEastAsia"/>
                <w:b/>
              </w:rPr>
              <w:t>操作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5A91B037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数据记录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21B14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b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结果评价</w:t>
            </w:r>
          </w:p>
        </w:tc>
      </w:tr>
      <w:tr w14:paraId="374F9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6B108A8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分值分配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A5F6D0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30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9FA64F9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20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6009560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60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F6F5373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30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38E0">
            <w:pPr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40</w:t>
            </w:r>
          </w:p>
        </w:tc>
      </w:tr>
    </w:tbl>
    <w:p w14:paraId="028F1C66">
      <w:pPr>
        <w:adjustRightInd/>
        <w:snapToGrid/>
        <w:spacing w:before="120" w:beforeLines="50" w:after="0" w:line="360" w:lineRule="auto"/>
        <w:ind w:firstLine="482" w:firstLineChars="200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cs="Times New Roman" w:asciiTheme="minorEastAsia" w:hAnsiTheme="minorEastAsia" w:eastAsiaTheme="minorEastAsia"/>
          <w:b/>
          <w:bCs/>
          <w:sz w:val="24"/>
          <w:szCs w:val="24"/>
        </w:rPr>
        <w:t>三、考试内容</w:t>
      </w:r>
    </w:p>
    <w:p w14:paraId="4741308C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（一）小操作</w:t>
      </w:r>
    </w:p>
    <w:p w14:paraId="2AF04D3F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1.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 xml:space="preserve"> EDTA、氢氧化钠的标定</w:t>
      </w:r>
    </w:p>
    <w:p w14:paraId="5FD020F5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（1）相关防护工作</w:t>
      </w:r>
    </w:p>
    <w:p w14:paraId="4E8D4440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（2）依据GB/T 601-2016 《化学试剂 标准滴定溶液的制备》</w:t>
      </w:r>
    </w:p>
    <w:p w14:paraId="1C801EA6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（3）标定</w:t>
      </w:r>
    </w:p>
    <w:p w14:paraId="7A248025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（4）标识</w:t>
      </w:r>
    </w:p>
    <w:p w14:paraId="65551455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（5）整理检测场地</w:t>
      </w:r>
    </w:p>
    <w:p w14:paraId="0BF9FBB1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2.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 xml:space="preserve"> PCA培养基、BGLB肉汤的配制</w:t>
      </w:r>
    </w:p>
    <w:p w14:paraId="10395D9E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（1）计算</w:t>
      </w:r>
    </w:p>
    <w:p w14:paraId="03C91F3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（2）称量</w:t>
      </w:r>
    </w:p>
    <w:p w14:paraId="55C01A6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（3）加热溶解</w:t>
      </w:r>
    </w:p>
    <w:p w14:paraId="45C21146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（4）包扎</w:t>
      </w:r>
    </w:p>
    <w:p w14:paraId="411D902F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（5）标识</w:t>
      </w:r>
    </w:p>
    <w:p w14:paraId="2631282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（二）大操作</w:t>
      </w:r>
    </w:p>
    <w:p w14:paraId="46DF1CAA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大豆中粗脂肪的测定</w:t>
      </w:r>
    </w:p>
    <w:p w14:paraId="785B892F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（1）检测样品（制备好的大豆样品）</w:t>
      </w:r>
    </w:p>
    <w:p w14:paraId="6AAAD1B3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（2）选定所需的检测设备（工具）与试剂</w:t>
      </w:r>
    </w:p>
    <w:p w14:paraId="363BA32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(3) 按标准要求进行检测</w:t>
      </w:r>
    </w:p>
    <w:p w14:paraId="28EF1B4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（4）填写实验结果记录表</w:t>
      </w:r>
    </w:p>
    <w:p w14:paraId="77F68C9E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（5）对所测结果做出符合性判断</w:t>
      </w:r>
    </w:p>
    <w:p w14:paraId="487D8614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（6）实验后清洁和整理</w:t>
      </w:r>
    </w:p>
    <w:p w14:paraId="128D90B3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2.食醋中的总酸测定</w:t>
      </w:r>
    </w:p>
    <w:p w14:paraId="5BF4D7E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（1）检测样品（食醋）</w:t>
      </w:r>
    </w:p>
    <w:p w14:paraId="5B0C8214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（2）选定所需的检测设备（工具）与试剂</w:t>
      </w:r>
    </w:p>
    <w:p w14:paraId="09E71116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(3) 按标准要求进行检测</w:t>
      </w:r>
    </w:p>
    <w:p w14:paraId="008727FA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（4）填写实验结果记录表</w:t>
      </w:r>
    </w:p>
    <w:p w14:paraId="5C155106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（5）对所测结果做出符合性判断</w:t>
      </w:r>
    </w:p>
    <w:p w14:paraId="38D23DA8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（6）实验后清洁和整理</w:t>
      </w:r>
    </w:p>
    <w:p w14:paraId="7494193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3.饼干中菌落总数的测定</w:t>
      </w:r>
    </w:p>
    <w:p w14:paraId="709936B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（1）检测样品（预包装非夹心饼干）预处理</w:t>
      </w:r>
    </w:p>
    <w:p w14:paraId="40D5DAFC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（2）选定所需的检测设备（工具）与试剂</w:t>
      </w:r>
    </w:p>
    <w:p w14:paraId="673EC5CB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(3) 按标准要求进行检测</w:t>
      </w:r>
    </w:p>
    <w:p w14:paraId="6E36EB30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（4）填写实验结果记录表</w:t>
      </w:r>
    </w:p>
    <w:p w14:paraId="4BE9869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（5）对所测结果做出符合性判断</w:t>
      </w:r>
    </w:p>
    <w:p w14:paraId="58DD86A7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（6）实验后清洁和整理</w:t>
      </w:r>
    </w:p>
    <w:p w14:paraId="4583A42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4.保健饮料中大肠菌群的测定</w:t>
      </w:r>
    </w:p>
    <w:p w14:paraId="663D9D85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（1）检测样品（液体保健饮料）预处理</w:t>
      </w:r>
    </w:p>
    <w:p w14:paraId="64D0F558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（2）选定所需的检测设备（工具）与试剂</w:t>
      </w:r>
    </w:p>
    <w:p w14:paraId="3F611EBD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(3) 按标准要求进行检测</w:t>
      </w:r>
    </w:p>
    <w:p w14:paraId="0BE51679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（4）填写实验结果记录表</w:t>
      </w:r>
    </w:p>
    <w:p w14:paraId="6E9BE351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（5）对所测结果做出符合性判断</w:t>
      </w:r>
    </w:p>
    <w:p w14:paraId="6D6C7F94">
      <w:pPr>
        <w:adjustRightInd/>
        <w:snapToGrid/>
        <w:spacing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（6）实验后清洁和整理</w:t>
      </w:r>
    </w:p>
    <w:p w14:paraId="766732FE">
      <w:pPr>
        <w:spacing w:after="0" w:line="360" w:lineRule="auto"/>
        <w:ind w:firstLine="422" w:firstLineChars="200"/>
        <w:rPr>
          <w:rFonts w:hint="eastAsia" w:cs="Times New Roman" w:asciiTheme="minorEastAsia" w:hAnsiTheme="minorEastAsia" w:eastAsiaTheme="minorEastAsia"/>
          <w:b/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9284344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asciiTheme="minorEastAsia" w:hAnsiTheme="minorEastAsia" w:eastAsiaTheme="minorEastAsia"/>
          </w:rPr>
        </w:sdtEndPr>
        <w:sdtContent>
          <w:p w14:paraId="174CECC1">
            <w:pPr>
              <w:pStyle w:val="4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lang w:val="zh-CN"/>
              </w:rPr>
              <w:t xml:space="preserve"> /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2368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6DEE"/>
    <w:rsid w:val="00041B6A"/>
    <w:rsid w:val="00051C7C"/>
    <w:rsid w:val="00070F03"/>
    <w:rsid w:val="00084AA9"/>
    <w:rsid w:val="0009042F"/>
    <w:rsid w:val="00092411"/>
    <w:rsid w:val="00095485"/>
    <w:rsid w:val="00095C4D"/>
    <w:rsid w:val="0009794D"/>
    <w:rsid w:val="000B0069"/>
    <w:rsid w:val="000E5041"/>
    <w:rsid w:val="000F56E5"/>
    <w:rsid w:val="00101819"/>
    <w:rsid w:val="001102A2"/>
    <w:rsid w:val="00112511"/>
    <w:rsid w:val="0012487D"/>
    <w:rsid w:val="0014257F"/>
    <w:rsid w:val="001478B2"/>
    <w:rsid w:val="00154AD9"/>
    <w:rsid w:val="00170F38"/>
    <w:rsid w:val="00180376"/>
    <w:rsid w:val="0018677D"/>
    <w:rsid w:val="001C7D15"/>
    <w:rsid w:val="001D25AD"/>
    <w:rsid w:val="002116B5"/>
    <w:rsid w:val="0021338B"/>
    <w:rsid w:val="00260D48"/>
    <w:rsid w:val="00263788"/>
    <w:rsid w:val="00266AF8"/>
    <w:rsid w:val="00290267"/>
    <w:rsid w:val="002B0300"/>
    <w:rsid w:val="002C0B4F"/>
    <w:rsid w:val="002C2EB7"/>
    <w:rsid w:val="002D1106"/>
    <w:rsid w:val="002E30B9"/>
    <w:rsid w:val="002F5A58"/>
    <w:rsid w:val="00313560"/>
    <w:rsid w:val="00323B43"/>
    <w:rsid w:val="00325C47"/>
    <w:rsid w:val="00326A9A"/>
    <w:rsid w:val="00341BB4"/>
    <w:rsid w:val="00394A39"/>
    <w:rsid w:val="00395F08"/>
    <w:rsid w:val="003B0D65"/>
    <w:rsid w:val="003C0B4D"/>
    <w:rsid w:val="003C2787"/>
    <w:rsid w:val="003D37D8"/>
    <w:rsid w:val="0041497B"/>
    <w:rsid w:val="00416165"/>
    <w:rsid w:val="00426133"/>
    <w:rsid w:val="0043369B"/>
    <w:rsid w:val="004358AB"/>
    <w:rsid w:val="00447800"/>
    <w:rsid w:val="0045212D"/>
    <w:rsid w:val="00453D35"/>
    <w:rsid w:val="00466BB5"/>
    <w:rsid w:val="004813BA"/>
    <w:rsid w:val="004862FE"/>
    <w:rsid w:val="004A43C1"/>
    <w:rsid w:val="004C0563"/>
    <w:rsid w:val="004E7384"/>
    <w:rsid w:val="00507900"/>
    <w:rsid w:val="00511A36"/>
    <w:rsid w:val="00544154"/>
    <w:rsid w:val="00551832"/>
    <w:rsid w:val="00565454"/>
    <w:rsid w:val="00572273"/>
    <w:rsid w:val="00593797"/>
    <w:rsid w:val="005B6999"/>
    <w:rsid w:val="00602CDD"/>
    <w:rsid w:val="00605842"/>
    <w:rsid w:val="0061299F"/>
    <w:rsid w:val="006148FF"/>
    <w:rsid w:val="00636703"/>
    <w:rsid w:val="00636E7F"/>
    <w:rsid w:val="00637CA2"/>
    <w:rsid w:val="00683D2B"/>
    <w:rsid w:val="006968B9"/>
    <w:rsid w:val="00707961"/>
    <w:rsid w:val="00711479"/>
    <w:rsid w:val="00787102"/>
    <w:rsid w:val="007C5CCF"/>
    <w:rsid w:val="0082195B"/>
    <w:rsid w:val="00826123"/>
    <w:rsid w:val="00832BC3"/>
    <w:rsid w:val="008362C5"/>
    <w:rsid w:val="008B213C"/>
    <w:rsid w:val="008B5A46"/>
    <w:rsid w:val="008B7726"/>
    <w:rsid w:val="008E3BB6"/>
    <w:rsid w:val="008E5CE0"/>
    <w:rsid w:val="00904AF0"/>
    <w:rsid w:val="00952532"/>
    <w:rsid w:val="0096447E"/>
    <w:rsid w:val="009720C4"/>
    <w:rsid w:val="009C7FE1"/>
    <w:rsid w:val="009D2EDD"/>
    <w:rsid w:val="009E47CA"/>
    <w:rsid w:val="009E5E09"/>
    <w:rsid w:val="009E79A8"/>
    <w:rsid w:val="00A30B2A"/>
    <w:rsid w:val="00A8337A"/>
    <w:rsid w:val="00AA5994"/>
    <w:rsid w:val="00AB1F80"/>
    <w:rsid w:val="00AC673F"/>
    <w:rsid w:val="00B23AD1"/>
    <w:rsid w:val="00B42A72"/>
    <w:rsid w:val="00B45761"/>
    <w:rsid w:val="00B70402"/>
    <w:rsid w:val="00BD6138"/>
    <w:rsid w:val="00BE1B2F"/>
    <w:rsid w:val="00BF3656"/>
    <w:rsid w:val="00C175BA"/>
    <w:rsid w:val="00C20E57"/>
    <w:rsid w:val="00C25226"/>
    <w:rsid w:val="00C3372F"/>
    <w:rsid w:val="00C37E9F"/>
    <w:rsid w:val="00C55F5B"/>
    <w:rsid w:val="00C63424"/>
    <w:rsid w:val="00C97F50"/>
    <w:rsid w:val="00CB5697"/>
    <w:rsid w:val="00CC1096"/>
    <w:rsid w:val="00D177CD"/>
    <w:rsid w:val="00D31D50"/>
    <w:rsid w:val="00D36D05"/>
    <w:rsid w:val="00D56CA4"/>
    <w:rsid w:val="00D87C2E"/>
    <w:rsid w:val="00D9784B"/>
    <w:rsid w:val="00DB7011"/>
    <w:rsid w:val="00DE0435"/>
    <w:rsid w:val="00DE44F3"/>
    <w:rsid w:val="00E033C1"/>
    <w:rsid w:val="00E07224"/>
    <w:rsid w:val="00E151D9"/>
    <w:rsid w:val="00E53AE8"/>
    <w:rsid w:val="00E549C4"/>
    <w:rsid w:val="00E779A7"/>
    <w:rsid w:val="00EA41FF"/>
    <w:rsid w:val="00EB3091"/>
    <w:rsid w:val="00EC3233"/>
    <w:rsid w:val="00EC652C"/>
    <w:rsid w:val="00ED1280"/>
    <w:rsid w:val="00F02E6A"/>
    <w:rsid w:val="00F12058"/>
    <w:rsid w:val="00F1356B"/>
    <w:rsid w:val="00F17C5B"/>
    <w:rsid w:val="00F2283C"/>
    <w:rsid w:val="00F40E60"/>
    <w:rsid w:val="00F47869"/>
    <w:rsid w:val="00F5121A"/>
    <w:rsid w:val="00F55670"/>
    <w:rsid w:val="00F8045A"/>
    <w:rsid w:val="00F82AF3"/>
    <w:rsid w:val="00F97357"/>
    <w:rsid w:val="00FC292C"/>
    <w:rsid w:val="10FD716C"/>
    <w:rsid w:val="60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字符"/>
    <w:basedOn w:val="8"/>
    <w:link w:val="3"/>
    <w:semiHidden/>
    <w:uiPriority w:val="99"/>
    <w:rPr>
      <w:rFonts w:ascii="Tahoma" w:hAnsi="Tahoma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4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1081</Characters>
  <Lines>8</Lines>
  <Paragraphs>2</Paragraphs>
  <TotalTime>230</TotalTime>
  <ScaleCrop>false</ScaleCrop>
  <LinksUpToDate>false</LinksUpToDate>
  <CharactersWithSpaces>1097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2019-11-13T13:57:00Z</dcterms:created>
  <dc:creator>Administrator</dc:creator>
  <cp:lastModifiedBy>欧已铭</cp:lastModifiedBy>
  <dcterms:modified xsi:type="dcterms:W3CDTF">2026-03-13T04:46:08Z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619BAF2AA7754AD89541881D92886EB7_13</vt:lpwstr>
  </property>
  <property fmtid="{D5CDD505-2E9C-101B-9397-08002B2CF9AE}" pid="4" name="KSOTemplateDocerSaveRecord">
    <vt:lpwstr>eyJoZGlkIjoiZDliOWM2MzNlZjk4NTNhNjlmZThmZjcxNGE1Y2Q0ZmIiLCJ1c2VySWQiOiI0Mzc3ODg4OTUifQ==</vt:lpwstr>
  </property>
</Properties>
</file>